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C1" w:rsidRPr="004864C1" w:rsidRDefault="004864C1" w:rsidP="004864C1">
      <w:pPr>
        <w:pStyle w:val="ListParagraph"/>
        <w:spacing w:line="480" w:lineRule="auto"/>
        <w:ind w:left="57"/>
        <w:jc w:val="center"/>
        <w:rPr>
          <w:rFonts w:ascii="Times New Roman" w:hAnsi="Times New Roman" w:cs="Times New Roman"/>
          <w:b/>
          <w:sz w:val="28"/>
          <w:szCs w:val="24"/>
        </w:rPr>
      </w:pPr>
      <w:r w:rsidRPr="004864C1">
        <w:rPr>
          <w:rFonts w:ascii="Times New Roman" w:hAnsi="Times New Roman" w:cs="Times New Roman"/>
          <w:b/>
          <w:sz w:val="24"/>
        </w:rPr>
        <w:t>Exam 3</w:t>
      </w: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Solutions</w:t>
      </w:r>
    </w:p>
    <w:p w:rsidR="00C216E3" w:rsidRPr="009D59C9" w:rsidRDefault="00C216E3" w:rsidP="009D59C9">
      <w:pPr>
        <w:spacing w:line="480" w:lineRule="auto"/>
        <w:jc w:val="both"/>
        <w:rPr>
          <w:rFonts w:ascii="Times New Roman" w:hAnsi="Times New Roman" w:cs="Times New Roman"/>
          <w:sz w:val="24"/>
        </w:rPr>
      </w:pPr>
      <w:r w:rsidRPr="009D59C9">
        <w:rPr>
          <w:rFonts w:ascii="Times New Roman" w:hAnsi="Times New Roman" w:cs="Times New Roman"/>
          <w:sz w:val="24"/>
        </w:rPr>
        <w:t>The decision to file charges - Once an arrest is made, a prosecutor screens the case to determine if it should be prosecuted or dropped.</w:t>
      </w:r>
    </w:p>
    <w:p w:rsidR="00C216E3" w:rsidRPr="009D59C9" w:rsidRDefault="00C216E3" w:rsidP="009D59C9">
      <w:pPr>
        <w:spacing w:line="480" w:lineRule="auto"/>
        <w:jc w:val="both"/>
        <w:rPr>
          <w:rFonts w:ascii="Times New Roman" w:hAnsi="Times New Roman" w:cs="Times New Roman"/>
          <w:sz w:val="24"/>
        </w:rPr>
      </w:pPr>
      <w:r w:rsidRPr="009D59C9">
        <w:rPr>
          <w:rFonts w:ascii="Times New Roman" w:hAnsi="Times New Roman" w:cs="Times New Roman"/>
          <w:sz w:val="24"/>
        </w:rPr>
        <w:t>The decision to dismiss charges – The prosecutor c</w:t>
      </w:r>
      <w:bookmarkStart w:id="0" w:name="_GoBack"/>
      <w:bookmarkEnd w:id="0"/>
      <w:r w:rsidRPr="009D59C9">
        <w:rPr>
          <w:rFonts w:ascii="Times New Roman" w:hAnsi="Times New Roman" w:cs="Times New Roman"/>
          <w:sz w:val="24"/>
        </w:rPr>
        <w:t>an reduce the charge in exchange for a guilty plea or enter a formal statement by a prosecutor declaring that a case is discontinued. The pitfalls include insufficient evidence, inadmissible evidence, false accusations, and the trivial nature of some crimes</w:t>
      </w:r>
    </w:p>
    <w:p w:rsidR="00C216E3" w:rsidRPr="009D59C9" w:rsidRDefault="00C216E3" w:rsidP="009D59C9">
      <w:pPr>
        <w:spacing w:line="480" w:lineRule="auto"/>
        <w:jc w:val="both"/>
        <w:rPr>
          <w:rFonts w:ascii="Times New Roman" w:hAnsi="Times New Roman" w:cs="Times New Roman"/>
          <w:sz w:val="24"/>
        </w:rPr>
      </w:pPr>
      <w:r w:rsidRPr="009D59C9">
        <w:rPr>
          <w:rFonts w:ascii="Times New Roman" w:hAnsi="Times New Roman" w:cs="Times New Roman"/>
          <w:sz w:val="24"/>
        </w:rPr>
        <w:t>Plea bargaining - is an agreement in which a prosecutor permits a defendant to plead guilty in exchange for a concession, such as reducing the charges or recommending a lenient sentence. It offers the possibilities of a reduced sentence and cheaper legal representation (</w:t>
      </w:r>
      <w:r w:rsidR="004864C1" w:rsidRPr="009D59C9">
        <w:rPr>
          <w:rFonts w:ascii="Times New Roman" w:hAnsi="Times New Roman" w:cs="Times New Roman"/>
          <w:sz w:val="24"/>
        </w:rPr>
        <w:t xml:space="preserve">Levine, 2016). </w:t>
      </w:r>
    </w:p>
    <w:p w:rsidR="00C216E3" w:rsidRPr="004C686A" w:rsidRDefault="00C216E3" w:rsidP="00C216E3">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w:t>
      </w: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4864C1"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All matters agreed between the prosecutor and the accused person or his/her legal representative shall be put in writing as the Plea Agreement and signed by both parties. The ODPP Plea Bargaining Guidelines contain a Plea Agreement template. It lighters the sentence, reduces the charges and helps to finish the case (the case is over).it reduces the financial costs of prosecution, improves the efficiency of the courts by having fewer cases go to full trials, and allows the prosecution to devote its resources to the more serious cases</w:t>
      </w:r>
      <w:r w:rsidR="004864C1" w:rsidRPr="004864C1">
        <w:rPr>
          <w:rFonts w:ascii="Times New Roman" w:hAnsi="Times New Roman" w:cs="Times New Roman"/>
          <w:sz w:val="24"/>
        </w:rPr>
        <w:t xml:space="preserve"> (Kutateladze &amp; Johnson, 2016).</w:t>
      </w:r>
    </w:p>
    <w:p w:rsidR="00C216E3" w:rsidRPr="004C686A" w:rsidRDefault="00C216E3" w:rsidP="00C216E3">
      <w:pPr>
        <w:spacing w:line="480" w:lineRule="auto"/>
        <w:ind w:left="57"/>
        <w:jc w:val="both"/>
        <w:rPr>
          <w:rFonts w:ascii="Times New Roman" w:hAnsi="Times New Roman" w:cs="Times New Roman"/>
          <w:sz w:val="24"/>
          <w:szCs w:val="24"/>
        </w:rPr>
      </w:pP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EC79E9" w:rsidRDefault="00D77DCC" w:rsidP="004864C1">
      <w:pPr>
        <w:spacing w:line="480" w:lineRule="auto"/>
        <w:jc w:val="both"/>
        <w:rPr>
          <w:rFonts w:ascii="Times New Roman" w:hAnsi="Times New Roman" w:cs="Times New Roman"/>
          <w:sz w:val="24"/>
        </w:rPr>
      </w:pPr>
      <w:r w:rsidRPr="00D77DCC">
        <w:rPr>
          <w:rFonts w:ascii="Times New Roman" w:hAnsi="Times New Roman" w:cs="Times New Roman"/>
          <w:sz w:val="24"/>
        </w:rPr>
        <w:lastRenderedPageBreak/>
        <w:t xml:space="preserve">Aggravating circumstances refers to factors that increases the severity or culpability of a </w:t>
      </w:r>
      <w:r>
        <w:rPr>
          <w:rFonts w:ascii="Times New Roman" w:hAnsi="Times New Roman" w:cs="Times New Roman"/>
          <w:sz w:val="24"/>
        </w:rPr>
        <w:t>criminal act while a</w:t>
      </w:r>
      <w:r w:rsidRPr="00D77DCC">
        <w:rPr>
          <w:rFonts w:ascii="Times New Roman" w:hAnsi="Times New Roman" w:cs="Times New Roman"/>
          <w:sz w:val="24"/>
        </w:rPr>
        <w:t> mitigating factor is the opposite of an aggravating circumstance, as a mitigating factor provides reasons as to why punishment for a criminal act's ought to be lessened</w:t>
      </w:r>
      <w:r w:rsidR="00EC79E9">
        <w:rPr>
          <w:rFonts w:ascii="Times New Roman" w:hAnsi="Times New Roman" w:cs="Times New Roman"/>
          <w:sz w:val="24"/>
        </w:rPr>
        <w:t>.</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Mitigating factors: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Lack of a prior criminal record.</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Minor role in the offense.</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Culpability of the victim</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Aggravating Factors: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Repeat Offenses - A court may impose a harsher penalty on a defendant with multiple prior convictions.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Hate Crimes -Some states have enacted laws that allow sentencing enhancements if the state proves that the defendant was motivated by bias or animus based on a group characteristic.</w:t>
      </w:r>
    </w:p>
    <w:p w:rsidR="003801D5" w:rsidRDefault="00C216E3" w:rsidP="00C2438A">
      <w:pPr>
        <w:spacing w:line="480" w:lineRule="auto"/>
        <w:jc w:val="both"/>
        <w:rPr>
          <w:rFonts w:ascii="Times New Roman" w:hAnsi="Times New Roman" w:cs="Times New Roman"/>
          <w:sz w:val="24"/>
        </w:rPr>
      </w:pPr>
      <w:r w:rsidRPr="004864C1">
        <w:rPr>
          <w:rFonts w:ascii="Times New Roman" w:hAnsi="Times New Roman" w:cs="Times New Roman"/>
          <w:sz w:val="24"/>
        </w:rPr>
        <w:t>Mandatory Minimum Sentencing - For certain offenses, the circumstances of the case may trigger laws that remove a court’s discretion to adjust a sentence downward (</w:t>
      </w:r>
      <w:r w:rsidR="004864C1" w:rsidRPr="004864C1">
        <w:rPr>
          <w:rFonts w:ascii="Times New Roman" w:hAnsi="Times New Roman" w:cs="Times New Roman"/>
          <w:sz w:val="24"/>
        </w:rPr>
        <w:t xml:space="preserve">West &amp; Miller, 2018). </w:t>
      </w:r>
    </w:p>
    <w:p w:rsidR="00C2438A" w:rsidRDefault="00C2438A" w:rsidP="00C2438A">
      <w:pPr>
        <w:spacing w:line="480" w:lineRule="auto"/>
        <w:jc w:val="both"/>
        <w:rPr>
          <w:rFonts w:ascii="Times New Roman" w:hAnsi="Times New Roman" w:cs="Times New Roman"/>
          <w:sz w:val="24"/>
        </w:rPr>
      </w:pPr>
    </w:p>
    <w:p w:rsidR="00C2438A" w:rsidRDefault="00C2438A" w:rsidP="00C2438A">
      <w:pPr>
        <w:spacing w:line="480" w:lineRule="auto"/>
        <w:jc w:val="both"/>
        <w:rPr>
          <w:rFonts w:ascii="Times New Roman" w:hAnsi="Times New Roman" w:cs="Times New Roman"/>
          <w:sz w:val="24"/>
        </w:rPr>
      </w:pPr>
    </w:p>
    <w:p w:rsidR="00C2438A" w:rsidRDefault="00C2438A" w:rsidP="00C2438A">
      <w:pPr>
        <w:spacing w:line="480" w:lineRule="auto"/>
        <w:jc w:val="both"/>
        <w:rPr>
          <w:rFonts w:ascii="Times New Roman" w:hAnsi="Times New Roman" w:cs="Times New Roman"/>
          <w:sz w:val="24"/>
        </w:rPr>
      </w:pPr>
    </w:p>
    <w:p w:rsidR="00C2438A" w:rsidRDefault="00C2438A" w:rsidP="00C2438A">
      <w:pPr>
        <w:spacing w:line="480" w:lineRule="auto"/>
        <w:jc w:val="both"/>
        <w:rPr>
          <w:rFonts w:ascii="Times New Roman" w:hAnsi="Times New Roman" w:cs="Times New Roman"/>
          <w:sz w:val="24"/>
        </w:rPr>
      </w:pPr>
    </w:p>
    <w:p w:rsidR="00C2438A" w:rsidRPr="00C2438A" w:rsidRDefault="00C2438A" w:rsidP="00C2438A">
      <w:pPr>
        <w:spacing w:line="480" w:lineRule="auto"/>
        <w:jc w:val="both"/>
        <w:rPr>
          <w:rFonts w:ascii="Times New Roman" w:hAnsi="Times New Roman" w:cs="Times New Roman"/>
          <w:sz w:val="24"/>
        </w:rPr>
      </w:pPr>
    </w:p>
    <w:p w:rsidR="00C216E3" w:rsidRDefault="00C216E3" w:rsidP="00910CE2"/>
    <w:p w:rsidR="00C216E3" w:rsidRDefault="00C216E3" w:rsidP="00C216E3">
      <w:pPr>
        <w:jc w:val="center"/>
      </w:pPr>
      <w:r>
        <w:t xml:space="preserve">Reference </w:t>
      </w:r>
    </w:p>
    <w:p w:rsidR="00910CE2" w:rsidRPr="00910CE2" w:rsidRDefault="00910CE2" w:rsidP="00910CE2">
      <w:pPr>
        <w:ind w:left="720" w:hanging="720"/>
        <w:rPr>
          <w:rFonts w:ascii="Times New Roman" w:hAnsi="Times New Roman" w:cs="Times New Roman"/>
          <w:sz w:val="24"/>
          <w:shd w:val="clear" w:color="auto" w:fill="FFFFFF"/>
        </w:rPr>
      </w:pPr>
      <w:proofErr w:type="spellStart"/>
      <w:r w:rsidRPr="00910CE2">
        <w:rPr>
          <w:rFonts w:ascii="Times New Roman" w:hAnsi="Times New Roman" w:cs="Times New Roman"/>
          <w:sz w:val="24"/>
          <w:shd w:val="clear" w:color="auto" w:fill="FFFFFF"/>
        </w:rPr>
        <w:t>Kutateladze</w:t>
      </w:r>
      <w:proofErr w:type="spellEnd"/>
      <w:r w:rsidRPr="00910CE2">
        <w:rPr>
          <w:rFonts w:ascii="Times New Roman" w:hAnsi="Times New Roman" w:cs="Times New Roman"/>
          <w:sz w:val="24"/>
          <w:shd w:val="clear" w:color="auto" w:fill="FFFFFF"/>
        </w:rPr>
        <w:t>, B. L., Andiloro, N. R., &amp; Johnson, B. D. (2016). Opening Pandora’s box: How does defendant race influence plea bargaining</w:t>
      </w:r>
      <w:proofErr w:type="gramStart"/>
      <w:r w:rsidRPr="00910CE2">
        <w:rPr>
          <w:rFonts w:ascii="Times New Roman" w:hAnsi="Times New Roman" w:cs="Times New Roman"/>
          <w:sz w:val="24"/>
          <w:shd w:val="clear" w:color="auto" w:fill="FFFFFF"/>
        </w:rPr>
        <w:t>?.</w:t>
      </w:r>
      <w:proofErr w:type="gramEnd"/>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Justice Quarterly</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33</w:t>
      </w:r>
      <w:r w:rsidRPr="00910CE2">
        <w:rPr>
          <w:rFonts w:ascii="Times New Roman" w:hAnsi="Times New Roman" w:cs="Times New Roman"/>
          <w:sz w:val="24"/>
          <w:shd w:val="clear" w:color="auto" w:fill="FFFFFF"/>
        </w:rPr>
        <w:t>(3), 398-426.</w:t>
      </w:r>
    </w:p>
    <w:p w:rsidR="00910CE2" w:rsidRPr="00910CE2" w:rsidRDefault="00910CE2" w:rsidP="00910CE2">
      <w:pPr>
        <w:ind w:left="720" w:hanging="720"/>
        <w:rPr>
          <w:rFonts w:ascii="Times New Roman" w:hAnsi="Times New Roman" w:cs="Times New Roman"/>
          <w:sz w:val="24"/>
          <w:shd w:val="clear" w:color="auto" w:fill="FFFFFF"/>
        </w:rPr>
      </w:pPr>
      <w:r w:rsidRPr="00910CE2">
        <w:rPr>
          <w:rFonts w:ascii="Times New Roman" w:hAnsi="Times New Roman" w:cs="Times New Roman"/>
          <w:sz w:val="24"/>
          <w:shd w:val="clear" w:color="auto" w:fill="FFFFFF"/>
        </w:rPr>
        <w:t>Levine, S. J. (2016). The Potential Utility of Disciplinary Regulation as a Remedy for Abuses of Prosecutorial Discretion. </w:t>
      </w:r>
      <w:r w:rsidRPr="00910CE2">
        <w:rPr>
          <w:rFonts w:ascii="Times New Roman" w:hAnsi="Times New Roman" w:cs="Times New Roman"/>
          <w:i/>
          <w:iCs/>
          <w:sz w:val="24"/>
          <w:shd w:val="clear" w:color="auto" w:fill="FFFFFF"/>
        </w:rPr>
        <w:t>Duke J. Const. L. &amp; Pub. Pol'y</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12</w:t>
      </w:r>
      <w:r w:rsidRPr="00910CE2">
        <w:rPr>
          <w:rFonts w:ascii="Times New Roman" w:hAnsi="Times New Roman" w:cs="Times New Roman"/>
          <w:sz w:val="24"/>
          <w:shd w:val="clear" w:color="auto" w:fill="FFFFFF"/>
        </w:rPr>
        <w:t>, 1.</w:t>
      </w:r>
    </w:p>
    <w:p w:rsidR="00910CE2" w:rsidRPr="00910CE2" w:rsidRDefault="00910CE2" w:rsidP="00910CE2">
      <w:pPr>
        <w:ind w:left="720" w:hanging="720"/>
        <w:rPr>
          <w:rFonts w:ascii="Times New Roman" w:hAnsi="Times New Roman" w:cs="Times New Roman"/>
          <w:sz w:val="24"/>
        </w:rPr>
      </w:pPr>
      <w:r w:rsidRPr="00910CE2">
        <w:rPr>
          <w:rFonts w:ascii="Times New Roman" w:hAnsi="Times New Roman" w:cs="Times New Roman"/>
          <w:sz w:val="24"/>
          <w:shd w:val="clear" w:color="auto" w:fill="FFFFFF"/>
        </w:rPr>
        <w:t>West, M. P., Yelderman, L. A., &amp; Miller, M. K. (2018). Gender differences in the evaluation of aggravating and mitigating circumstances: the mediating role of attributional complexity. </w:t>
      </w:r>
      <w:r w:rsidRPr="00910CE2">
        <w:rPr>
          <w:rFonts w:ascii="Times New Roman" w:hAnsi="Times New Roman" w:cs="Times New Roman"/>
          <w:i/>
          <w:iCs/>
          <w:sz w:val="24"/>
          <w:shd w:val="clear" w:color="auto" w:fill="FFFFFF"/>
        </w:rPr>
        <w:t>Psychology, Crime &amp; Law</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24</w:t>
      </w:r>
      <w:r w:rsidRPr="00910CE2">
        <w:rPr>
          <w:rFonts w:ascii="Times New Roman" w:hAnsi="Times New Roman" w:cs="Times New Roman"/>
          <w:sz w:val="24"/>
          <w:shd w:val="clear" w:color="auto" w:fill="FFFFFF"/>
        </w:rPr>
        <w:t>(8), 761-789.</w:t>
      </w:r>
    </w:p>
    <w:p w:rsidR="00C216E3" w:rsidRPr="00C216E3" w:rsidRDefault="00C216E3" w:rsidP="00C216E3">
      <w:pPr>
        <w:jc w:val="center"/>
      </w:pPr>
    </w:p>
    <w:sectPr w:rsidR="00C216E3" w:rsidRPr="00C216E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EB" w:rsidRDefault="00212EEB" w:rsidP="00C216E3">
      <w:pPr>
        <w:spacing w:after="0" w:line="240" w:lineRule="auto"/>
      </w:pPr>
      <w:r>
        <w:separator/>
      </w:r>
    </w:p>
  </w:endnote>
  <w:endnote w:type="continuationSeparator" w:id="0">
    <w:p w:rsidR="00212EEB" w:rsidRDefault="00212EEB" w:rsidP="00C2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EB" w:rsidRDefault="00212EEB" w:rsidP="00C216E3">
      <w:pPr>
        <w:spacing w:after="0" w:line="240" w:lineRule="auto"/>
      </w:pPr>
      <w:r>
        <w:separator/>
      </w:r>
    </w:p>
  </w:footnote>
  <w:footnote w:type="continuationSeparator" w:id="0">
    <w:p w:rsidR="00212EEB" w:rsidRDefault="00212EEB" w:rsidP="00C2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600915"/>
      <w:docPartObj>
        <w:docPartGallery w:val="Page Numbers (Top of Page)"/>
        <w:docPartUnique/>
      </w:docPartObj>
    </w:sdtPr>
    <w:sdtEndPr>
      <w:rPr>
        <w:noProof/>
      </w:rPr>
    </w:sdtEndPr>
    <w:sdtContent>
      <w:p w:rsidR="00C216E3" w:rsidRDefault="00C216E3">
        <w:pPr>
          <w:pStyle w:val="Header"/>
          <w:jc w:val="right"/>
        </w:pPr>
        <w:r>
          <w:fldChar w:fldCharType="begin"/>
        </w:r>
        <w:r>
          <w:instrText xml:space="preserve"> PAGE   \* MERGEFORMAT </w:instrText>
        </w:r>
        <w:r>
          <w:fldChar w:fldCharType="separate"/>
        </w:r>
        <w:r w:rsidR="009D59C9">
          <w:rPr>
            <w:noProof/>
          </w:rPr>
          <w:t>1</w:t>
        </w:r>
        <w:r>
          <w:rPr>
            <w:noProof/>
          </w:rPr>
          <w:fldChar w:fldCharType="end"/>
        </w:r>
      </w:p>
    </w:sdtContent>
  </w:sdt>
  <w:p w:rsidR="00C216E3" w:rsidRDefault="00C21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4E5C"/>
    <w:multiLevelType w:val="hybridMultilevel"/>
    <w:tmpl w:val="5F828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05373D"/>
    <w:multiLevelType w:val="hybridMultilevel"/>
    <w:tmpl w:val="7DE2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A71EE"/>
    <w:multiLevelType w:val="hybridMultilevel"/>
    <w:tmpl w:val="4ACAA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E3"/>
    <w:rsid w:val="00212EEB"/>
    <w:rsid w:val="004864C1"/>
    <w:rsid w:val="00523208"/>
    <w:rsid w:val="00910CE2"/>
    <w:rsid w:val="009D59C9"/>
    <w:rsid w:val="00B6315A"/>
    <w:rsid w:val="00C216E3"/>
    <w:rsid w:val="00C2438A"/>
    <w:rsid w:val="00D77DCC"/>
    <w:rsid w:val="00E008FE"/>
    <w:rsid w:val="00EC79E9"/>
    <w:rsid w:val="00FB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BB3"/>
  <w15:chartTrackingRefBased/>
  <w15:docId w15:val="{D6AB4682-9FE8-406F-99D3-38A020EA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6E3"/>
    <w:pPr>
      <w:ind w:left="720"/>
      <w:contextualSpacing/>
    </w:pPr>
  </w:style>
  <w:style w:type="paragraph" w:styleId="Header">
    <w:name w:val="header"/>
    <w:basedOn w:val="Normal"/>
    <w:link w:val="HeaderChar"/>
    <w:uiPriority w:val="99"/>
    <w:unhideWhenUsed/>
    <w:rsid w:val="00C2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E3"/>
  </w:style>
  <w:style w:type="paragraph" w:styleId="Footer">
    <w:name w:val="footer"/>
    <w:basedOn w:val="Normal"/>
    <w:link w:val="FooterChar"/>
    <w:uiPriority w:val="99"/>
    <w:unhideWhenUsed/>
    <w:rsid w:val="00C2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8</cp:revision>
  <dcterms:created xsi:type="dcterms:W3CDTF">2021-03-06T19:27:00Z</dcterms:created>
  <dcterms:modified xsi:type="dcterms:W3CDTF">2021-03-08T19:04:00Z</dcterms:modified>
</cp:coreProperties>
</file>